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E" w:rsidRDefault="00931EAE" w:rsidP="00D83122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83122" w:rsidRDefault="00D83122" w:rsidP="00D83122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83122" w:rsidRDefault="00D83122" w:rsidP="00D83122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931EAE" w:rsidRPr="00D83122" w:rsidRDefault="00931EAE" w:rsidP="00931EAE">
      <w:pPr>
        <w:spacing w:line="360" w:lineRule="atLeast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D831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ПРАВИЛНИК</w:t>
      </w:r>
    </w:p>
    <w:p w:rsidR="00931EAE" w:rsidRPr="00D83122" w:rsidRDefault="00931EAE" w:rsidP="00931EAE">
      <w:pPr>
        <w:spacing w:line="360" w:lineRule="atLeast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D831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 ВОЂЕЊУ КЊИГЕ ОДЛУКА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1740709</wp:posOffset>
            </wp:positionH>
            <wp:positionV relativeFrom="paragraph">
              <wp:posOffset>210499</wp:posOffset>
            </wp:positionV>
            <wp:extent cx="2824634" cy="3061530"/>
            <wp:effectExtent l="19050" t="0" r="0" b="0"/>
            <wp:wrapNone/>
            <wp:docPr id="2" name="Picture 2" descr="C:\Users\Templar\Pictures\Okruzni_odbojkaski_savez_zlatiborskog_okrug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lar\Pictures\Okruzni_odbojkaski_savez_zlatiborskog_okrug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83" cy="30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EAE"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Pr="00931EAE" w:rsidRDefault="00D83122" w:rsidP="00D83122">
      <w:pPr>
        <w:spacing w:line="36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</w:rPr>
        <w:t>, 2018.</w:t>
      </w:r>
      <w:proofErr w:type="gramEnd"/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D83122" w:rsidRPr="00931EAE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931EAE" w:rsidRPr="00931EAE" w:rsidRDefault="00C9487C" w:rsidP="00D83122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59,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спорту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гласник РС“ бр.2472011) и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Окружног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Златиборског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Окружног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одбојкашког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Златиборског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23.06.2018.</w:t>
      </w:r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донео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931EAE" w:rsidRPr="00931EAE" w:rsidRDefault="00931EAE" w:rsidP="00931EAE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ПРАВИЛНИК О ВОЂЕЊУ КЊИГЕ ОДЛУКА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0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Златиборског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Златиборског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proofErr w:type="gram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B85FDD" w:rsidRDefault="00931EAE" w:rsidP="00B85F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931EAE" w:rsidRPr="00931EAE" w:rsidRDefault="00D83122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931EAE"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,Скупштине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0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случајева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авеза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прогласи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тајном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нека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длука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тајном</w:t>
      </w:r>
      <w:proofErr w:type="spellEnd"/>
      <w:proofErr w:type="gram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Збирци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рубрике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длука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таква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Књизи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штампаним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компјутера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B85FDD" w:rsidRDefault="00931EAE" w:rsidP="00B85FDD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брисати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исправљати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6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омоти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0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B85FDD" w:rsidRDefault="00931EAE" w:rsidP="00B85FDD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1EAE" w:rsidRPr="00931EAE" w:rsidRDefault="00931EAE" w:rsidP="00931EAE">
      <w:pPr>
        <w:numPr>
          <w:ilvl w:val="0"/>
          <w:numId w:val="1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горњем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десном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углу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њиге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установљена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931EAE" w:rsidRPr="00B85FDD" w:rsidRDefault="00931EAE" w:rsidP="00B85FDD">
      <w:pPr>
        <w:numPr>
          <w:ilvl w:val="0"/>
          <w:numId w:val="1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</w:p>
    <w:p w:rsidR="00931EAE" w:rsidRPr="00931EAE" w:rsidRDefault="00931EAE" w:rsidP="00931EAE">
      <w:pPr>
        <w:numPr>
          <w:ilvl w:val="0"/>
          <w:numId w:val="2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поље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B85FDD" w:rsidRDefault="00931EAE" w:rsidP="00D83122">
      <w:pPr>
        <w:spacing w:after="0" w:line="28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конципирани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1EAE" w:rsidRPr="00931EAE" w:rsidRDefault="00B85FDD" w:rsidP="00931EAE">
      <w:pPr>
        <w:numPr>
          <w:ilvl w:val="0"/>
          <w:numId w:val="3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( 2,3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и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Насловна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after="0" w:line="28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numPr>
          <w:ilvl w:val="0"/>
          <w:numId w:val="4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numPr>
          <w:ilvl w:val="0"/>
          <w:numId w:val="5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2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заказивале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0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одштампана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B85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30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иам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наводећи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B85FDD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4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Одлуку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оверава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B85FDD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60" w:lineRule="atLeast"/>
        <w:ind w:firstLine="708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углу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завело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Збирке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B85FDD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6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одсутно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4A75D5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83122">
      <w:pPr>
        <w:spacing w:after="0" w:line="240" w:lineRule="atLeast"/>
        <w:ind w:firstLine="708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B85FDD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92A8A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онако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</w:p>
    <w:p w:rsidR="00931EAE" w:rsidRPr="00931EAE" w:rsidRDefault="00931EAE" w:rsidP="004A75D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  <w:r w:rsidR="004A75D5">
        <w:rPr>
          <w:rFonts w:ascii="Calibri" w:eastAsia="Times New Roman" w:hAnsi="Calibri" w:cs="Times New Roman"/>
          <w:color w:val="000000"/>
        </w:rPr>
        <w:t>ООСЗО</w:t>
      </w: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92A8A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тачности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унесених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4A75D5" w:rsidRDefault="00931EAE" w:rsidP="00D92A8A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образложен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ахтев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службену</w:t>
      </w:r>
      <w:proofErr w:type="spellEnd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5D5">
        <w:rPr>
          <w:rFonts w:ascii="Times New Roman" w:eastAsia="Times New Roman" w:hAnsi="Times New Roman" w:cs="Times New Roman"/>
          <w:color w:val="000000"/>
          <w:sz w:val="24"/>
          <w:szCs w:val="24"/>
        </w:rPr>
        <w:t>тајну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4A75D5" w:rsidRDefault="00931EAE" w:rsidP="00D92A8A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Разгледање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наплаћује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ценовнику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4A75D5" w:rsidRDefault="00931EAE" w:rsidP="00D92A8A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навођење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4A75D5" w:rsidRDefault="00931EAE" w:rsidP="00D92A8A">
      <w:pPr>
        <w:spacing w:after="0" w:line="26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напомену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92A8A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1EAE" w:rsidRPr="004A75D5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D92A8A">
      <w:pPr>
        <w:spacing w:line="240" w:lineRule="atLeast"/>
        <w:ind w:right="20"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BC4C7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4484956</wp:posOffset>
            </wp:positionH>
            <wp:positionV relativeFrom="paragraph">
              <wp:posOffset>129575</wp:posOffset>
            </wp:positionV>
            <wp:extent cx="1063678" cy="1085222"/>
            <wp:effectExtent l="19050" t="0" r="3122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14" cy="108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31EAE"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931EAE" w:rsidRDefault="00931EA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Бошковић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p w:rsidR="00931EAE" w:rsidRPr="004A75D5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931EAE">
        <w:rPr>
          <w:rFonts w:ascii="Calibri" w:eastAsia="Times New Roman" w:hAnsi="Calibri" w:cs="Times New Roman"/>
          <w:color w:val="000000"/>
        </w:rPr>
        <w:t> </w:t>
      </w:r>
    </w:p>
    <w:sectPr w:rsidR="00931EAE" w:rsidRPr="004A75D5" w:rsidSect="00931EAE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9C"/>
    <w:multiLevelType w:val="multilevel"/>
    <w:tmpl w:val="0AD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67230"/>
    <w:multiLevelType w:val="multilevel"/>
    <w:tmpl w:val="B86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27469"/>
    <w:multiLevelType w:val="multilevel"/>
    <w:tmpl w:val="432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332A4"/>
    <w:multiLevelType w:val="multilevel"/>
    <w:tmpl w:val="128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A7DC2"/>
    <w:multiLevelType w:val="multilevel"/>
    <w:tmpl w:val="7ED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1EAE"/>
    <w:rsid w:val="00226A52"/>
    <w:rsid w:val="0034427B"/>
    <w:rsid w:val="00352F0A"/>
    <w:rsid w:val="004A75D5"/>
    <w:rsid w:val="00650CF1"/>
    <w:rsid w:val="00931EAE"/>
    <w:rsid w:val="00A9425A"/>
    <w:rsid w:val="00B83B1A"/>
    <w:rsid w:val="00B85FDD"/>
    <w:rsid w:val="00BC4C7E"/>
    <w:rsid w:val="00C561F8"/>
    <w:rsid w:val="00C9487C"/>
    <w:rsid w:val="00D83122"/>
    <w:rsid w:val="00D92A8A"/>
    <w:rsid w:val="00F0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31EAE"/>
  </w:style>
  <w:style w:type="paragraph" w:styleId="BalloonText">
    <w:name w:val="Balloon Text"/>
    <w:basedOn w:val="Normal"/>
    <w:link w:val="BalloonTextChar"/>
    <w:uiPriority w:val="99"/>
    <w:semiHidden/>
    <w:unhideWhenUsed/>
    <w:rsid w:val="00B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71C9-9F4A-4BEA-8DC4-9C190401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2018-10-07T07:38:00Z</cp:lastPrinted>
  <dcterms:created xsi:type="dcterms:W3CDTF">2018-06-12T16:40:00Z</dcterms:created>
  <dcterms:modified xsi:type="dcterms:W3CDTF">2018-10-20T08:06:00Z</dcterms:modified>
</cp:coreProperties>
</file>